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5FDD" w:rsidRPr="00211AB1" w:rsidRDefault="003247F7" w:rsidP="00211AB1">
      <w:pPr>
        <w:jc w:val="center"/>
        <w:rPr>
          <w:b/>
        </w:rPr>
      </w:pPr>
      <w:r w:rsidRPr="00211AB1">
        <w:rPr>
          <w:b/>
        </w:rPr>
        <w:t>Adatkezelési tájékoztató</w:t>
      </w:r>
    </w:p>
    <w:p w:rsidR="003247F7" w:rsidRDefault="003247F7"/>
    <w:p w:rsidR="003247F7" w:rsidRDefault="003247F7">
      <w:r>
        <w:t>Adatkezelő:</w:t>
      </w:r>
    </w:p>
    <w:p w:rsidR="003247F7" w:rsidRDefault="00982B07">
      <w:pPr>
        <w:rPr>
          <w:i/>
        </w:rPr>
      </w:pPr>
      <w:r>
        <w:rPr>
          <w:i/>
        </w:rPr>
        <w:t>Cégnév</w:t>
      </w:r>
      <w:r w:rsidR="00211AB1">
        <w:rPr>
          <w:i/>
        </w:rPr>
        <w:t>:</w:t>
      </w:r>
      <w:r w:rsidR="00D70980">
        <w:rPr>
          <w:i/>
        </w:rPr>
        <w:t>EH Invest Zrt.</w:t>
      </w:r>
    </w:p>
    <w:p w:rsidR="00982B07" w:rsidRDefault="00982B07">
      <w:pPr>
        <w:rPr>
          <w:i/>
        </w:rPr>
      </w:pPr>
      <w:r>
        <w:rPr>
          <w:i/>
        </w:rPr>
        <w:t>székhely</w:t>
      </w:r>
      <w:r w:rsidR="00211AB1">
        <w:rPr>
          <w:i/>
        </w:rPr>
        <w:t>:</w:t>
      </w:r>
      <w:r w:rsidR="00D70980">
        <w:rPr>
          <w:i/>
        </w:rPr>
        <w:t xml:space="preserve"> </w:t>
      </w:r>
      <w:r w:rsidR="00D70980" w:rsidRPr="00D70980">
        <w:rPr>
          <w:i/>
        </w:rPr>
        <w:t>4025 Debrecen, Simonffy utca 4-6. I. em. 123; 125; 126.</w:t>
      </w:r>
    </w:p>
    <w:p w:rsidR="00211AB1" w:rsidRDefault="00211AB1">
      <w:pPr>
        <w:rPr>
          <w:i/>
        </w:rPr>
      </w:pPr>
      <w:r>
        <w:rPr>
          <w:i/>
        </w:rPr>
        <w:t>képviselő:</w:t>
      </w:r>
      <w:r w:rsidR="00D70980">
        <w:rPr>
          <w:i/>
        </w:rPr>
        <w:t xml:space="preserve"> Kovács Zsolt, igazgatósági tag</w:t>
      </w:r>
    </w:p>
    <w:p w:rsidR="00211AB1" w:rsidRDefault="00211AB1">
      <w:pPr>
        <w:rPr>
          <w:i/>
        </w:rPr>
      </w:pPr>
      <w:r>
        <w:rPr>
          <w:i/>
        </w:rPr>
        <w:t>telefonszám:</w:t>
      </w:r>
      <w:r w:rsidR="00D70980">
        <w:rPr>
          <w:i/>
        </w:rPr>
        <w:t>0036302069566</w:t>
      </w:r>
      <w:bookmarkStart w:id="0" w:name="_GoBack"/>
      <w:bookmarkEnd w:id="0"/>
    </w:p>
    <w:p w:rsidR="00211AB1" w:rsidRDefault="00211AB1">
      <w:pPr>
        <w:rPr>
          <w:i/>
        </w:rPr>
      </w:pPr>
      <w:r>
        <w:rPr>
          <w:i/>
        </w:rPr>
        <w:t>email:</w:t>
      </w:r>
      <w:r w:rsidR="00D70980">
        <w:rPr>
          <w:i/>
        </w:rPr>
        <w:t xml:space="preserve"> kovacs.zsolt@enterprisehungary.hu</w:t>
      </w:r>
    </w:p>
    <w:p w:rsidR="00211AB1" w:rsidRDefault="00211AB1">
      <w:pPr>
        <w:rPr>
          <w:i/>
        </w:rPr>
      </w:pPr>
    </w:p>
    <w:p w:rsidR="00211AB1" w:rsidRDefault="00211AB1" w:rsidP="00211AB1">
      <w:pPr>
        <w:jc w:val="both"/>
      </w:pPr>
      <w:r>
        <w:t xml:space="preserve">Az Adatkezelő fontosnak tartja ügyfelei és minden egyéb érintett természetes személy </w:t>
      </w:r>
      <w:r>
        <w:rPr>
          <w:b/>
          <w:i/>
        </w:rPr>
        <w:t>(továbbiakban érintettek)</w:t>
      </w:r>
      <w:r>
        <w:t xml:space="preserve"> adatkezeléshez kapcsolódó jogának tiszteletben tartását és érvényre juttatását, ezért ezúton tájékoztatja az érintetteket, hogy tiszteletben tartja az érintettek személyhez fűződő jogait, és adatkezelése során a magyar hatályos jog anyagi és eljárásjogi szabályai, a mindenkor hatályos Adatvédelmi és Adatbiztonsági Szabályzat, valamint egyéb más belső szabályzatok értelmében jár el.  </w:t>
      </w:r>
    </w:p>
    <w:p w:rsidR="00211AB1" w:rsidRDefault="00211AB1" w:rsidP="00211AB1">
      <w:pPr>
        <w:jc w:val="both"/>
      </w:pPr>
      <w:r>
        <w:t>Jelen rövid adatvédelmi Tájékoztató azzal a céllal jött létre, hogy az érintetteket tömören tájékoztassa az Adatkezelő rendezvényein készített fényképek felhasználásának szabályairól az érintetteket.</w:t>
      </w:r>
    </w:p>
    <w:p w:rsidR="00211AB1" w:rsidRDefault="00211AB1" w:rsidP="00211AB1">
      <w:pPr>
        <w:jc w:val="both"/>
      </w:pPr>
    </w:p>
    <w:p w:rsidR="00211AB1" w:rsidRPr="005A215A" w:rsidRDefault="00211AB1" w:rsidP="00211AB1">
      <w:pPr>
        <w:jc w:val="both"/>
        <w:rPr>
          <w:b/>
        </w:rPr>
      </w:pPr>
      <w:r w:rsidRPr="005A215A">
        <w:rPr>
          <w:b/>
        </w:rPr>
        <w:t>Az adatkezelés leírása</w:t>
      </w:r>
    </w:p>
    <w:p w:rsidR="00211AB1" w:rsidRDefault="00211AB1" w:rsidP="00211AB1">
      <w:pPr>
        <w:jc w:val="both"/>
      </w:pPr>
    </w:p>
    <w:p w:rsidR="00211AB1" w:rsidRDefault="00211AB1" w:rsidP="009704E2">
      <w:pPr>
        <w:jc w:val="both"/>
      </w:pPr>
      <w:r>
        <w:t>A rendezvényeinken megbízott fényképész kollégánk fényképeket készít a jelenlévőkről. A fényképek lehetnek úgynevezett t</w:t>
      </w:r>
      <w:r w:rsidR="009704E2">
        <w:t>ömegfelvételek (Polgári törvénykönyvről szóló 2013. évi V. törvény 2:48.§ (2))</w:t>
      </w:r>
      <w:r>
        <w:t>, illetve egyedi ábrázolásmódú</w:t>
      </w:r>
      <w:r w:rsidR="009704E2">
        <w:t xml:space="preserve"> képek. </w:t>
      </w:r>
    </w:p>
    <w:p w:rsidR="009704E2" w:rsidRDefault="009704E2" w:rsidP="009704E2">
      <w:pPr>
        <w:jc w:val="both"/>
      </w:pPr>
      <w:r>
        <w:t xml:space="preserve">A rendezvényeken készített képeket szeretnénk felhasználni a honlapunkon, közösségi média oldalainkon </w:t>
      </w:r>
      <w:r w:rsidR="00846D52">
        <w:t>és kiadványainkban saját magunk és a szolgáltatásaink népszerűsítésére.</w:t>
      </w:r>
      <w:r w:rsidR="00B72225">
        <w:t xml:space="preserve"> A vonatkozó jogszabályok értelmében a tömegfelvétel esetén nincs szükség külön hozzájárulásra az érintettől, ettől függetlenül a tömegfelvételen látható érintett bármikor kérheti, hogy távolítsuk el a képmását a felvételről.</w:t>
      </w:r>
      <w:r w:rsidR="00F03C51">
        <w:t xml:space="preserve"> Az egyedi ábrázolású tömegfelvételnek nem minősülő képek esetén minden esetben hozzájárulást kérünk az érintettől, hogy a leírtak szerint felhasználhassuk a képmását.</w:t>
      </w:r>
    </w:p>
    <w:p w:rsidR="00F03C51" w:rsidRDefault="00F03C51" w:rsidP="009704E2">
      <w:pPr>
        <w:jc w:val="both"/>
      </w:pPr>
    </w:p>
    <w:p w:rsidR="00F03C51" w:rsidRDefault="00D50690" w:rsidP="009704E2">
      <w:pPr>
        <w:jc w:val="both"/>
        <w:rPr>
          <w:b/>
        </w:rPr>
      </w:pPr>
      <w:r w:rsidRPr="00D50690">
        <w:rPr>
          <w:b/>
        </w:rPr>
        <w:t>Érintettek köre</w:t>
      </w:r>
    </w:p>
    <w:p w:rsidR="00D50690" w:rsidRDefault="00D50690" w:rsidP="009704E2">
      <w:pPr>
        <w:jc w:val="both"/>
      </w:pPr>
    </w:p>
    <w:p w:rsidR="00D50690" w:rsidRDefault="00D50690" w:rsidP="009704E2">
      <w:pPr>
        <w:jc w:val="both"/>
      </w:pPr>
      <w:r>
        <w:t>Tömegfelvétel esetén a rendezvényen jelen lévő természetes személy, akinek képmása szerepel a tömegfelvételen.</w:t>
      </w:r>
    </w:p>
    <w:p w:rsidR="00D50690" w:rsidRDefault="00D50690" w:rsidP="009704E2">
      <w:pPr>
        <w:jc w:val="both"/>
      </w:pPr>
      <w:r>
        <w:t xml:space="preserve">Egyedi ábrázolású kép esetén minden olyan természetes személy, aki a róla készült fényképek </w:t>
      </w:r>
      <w:r w:rsidR="00595B35">
        <w:t xml:space="preserve">elkészítéséhez és </w:t>
      </w:r>
      <w:r>
        <w:t>cél szerinti felhasználásához hozzájárult.</w:t>
      </w:r>
    </w:p>
    <w:p w:rsidR="00506EE5" w:rsidRDefault="00506EE5" w:rsidP="009704E2">
      <w:pPr>
        <w:jc w:val="both"/>
      </w:pPr>
    </w:p>
    <w:p w:rsidR="00506EE5" w:rsidRPr="00506EE5" w:rsidRDefault="00506EE5" w:rsidP="00506EE5">
      <w:pPr>
        <w:jc w:val="both"/>
        <w:rPr>
          <w:b/>
        </w:rPr>
      </w:pPr>
      <w:r w:rsidRPr="00506EE5">
        <w:rPr>
          <w:b/>
        </w:rPr>
        <w:t>A kezelt adatok köre és célja:</w:t>
      </w:r>
    </w:p>
    <w:p w:rsidR="00506EE5" w:rsidRDefault="00506EE5" w:rsidP="009704E2">
      <w:pPr>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18"/>
        <w:gridCol w:w="5670"/>
      </w:tblGrid>
      <w:tr w:rsidR="0023474F" w:rsidTr="0023474F">
        <w:tc>
          <w:tcPr>
            <w:tcW w:w="1918" w:type="dxa"/>
          </w:tcPr>
          <w:p w:rsidR="0023474F" w:rsidRDefault="0023474F" w:rsidP="009704E2">
            <w:pPr>
              <w:jc w:val="both"/>
            </w:pPr>
            <w:r>
              <w:t>Kezelt adat</w:t>
            </w:r>
          </w:p>
        </w:tc>
        <w:tc>
          <w:tcPr>
            <w:tcW w:w="5670" w:type="dxa"/>
          </w:tcPr>
          <w:p w:rsidR="0023474F" w:rsidRDefault="0023474F" w:rsidP="009704E2">
            <w:pPr>
              <w:jc w:val="both"/>
            </w:pPr>
            <w:r>
              <w:t>Adatkezelés célja</w:t>
            </w:r>
          </w:p>
        </w:tc>
      </w:tr>
      <w:tr w:rsidR="00506EE5" w:rsidTr="0023474F">
        <w:tc>
          <w:tcPr>
            <w:tcW w:w="1918" w:type="dxa"/>
          </w:tcPr>
          <w:p w:rsidR="00506EE5" w:rsidRDefault="00506EE5" w:rsidP="009704E2">
            <w:pPr>
              <w:jc w:val="both"/>
            </w:pPr>
            <w:r>
              <w:t>Név</w:t>
            </w:r>
          </w:p>
        </w:tc>
        <w:tc>
          <w:tcPr>
            <w:tcW w:w="5670" w:type="dxa"/>
          </w:tcPr>
          <w:p w:rsidR="00506EE5" w:rsidRDefault="00506EE5" w:rsidP="009704E2">
            <w:pPr>
              <w:jc w:val="both"/>
            </w:pPr>
            <w:r>
              <w:t>azonosítás</w:t>
            </w:r>
          </w:p>
        </w:tc>
      </w:tr>
      <w:tr w:rsidR="00506EE5" w:rsidTr="0023474F">
        <w:tc>
          <w:tcPr>
            <w:tcW w:w="1918" w:type="dxa"/>
          </w:tcPr>
          <w:p w:rsidR="00506EE5" w:rsidRDefault="00506EE5" w:rsidP="009704E2">
            <w:pPr>
              <w:jc w:val="both"/>
            </w:pPr>
            <w:r>
              <w:t>email cím</w:t>
            </w:r>
          </w:p>
        </w:tc>
        <w:tc>
          <w:tcPr>
            <w:tcW w:w="5670" w:type="dxa"/>
          </w:tcPr>
          <w:p w:rsidR="00506EE5" w:rsidRDefault="00506EE5" w:rsidP="009704E2">
            <w:pPr>
              <w:jc w:val="both"/>
            </w:pPr>
            <w:r>
              <w:t>adatkezeléssel kapcsolatos kommunikáció</w:t>
            </w:r>
          </w:p>
        </w:tc>
      </w:tr>
      <w:tr w:rsidR="00506EE5" w:rsidTr="0023474F">
        <w:tc>
          <w:tcPr>
            <w:tcW w:w="1918" w:type="dxa"/>
          </w:tcPr>
          <w:p w:rsidR="00506EE5" w:rsidRDefault="00506EE5" w:rsidP="009704E2">
            <w:pPr>
              <w:jc w:val="both"/>
            </w:pPr>
            <w:r>
              <w:t>lakcím</w:t>
            </w:r>
          </w:p>
        </w:tc>
        <w:tc>
          <w:tcPr>
            <w:tcW w:w="5670" w:type="dxa"/>
          </w:tcPr>
          <w:p w:rsidR="00506EE5" w:rsidRDefault="00506EE5" w:rsidP="009704E2">
            <w:pPr>
              <w:jc w:val="both"/>
            </w:pPr>
            <w:r>
              <w:t>azonosítás</w:t>
            </w:r>
          </w:p>
        </w:tc>
      </w:tr>
      <w:tr w:rsidR="007B2869" w:rsidTr="0023474F">
        <w:tc>
          <w:tcPr>
            <w:tcW w:w="1918" w:type="dxa"/>
          </w:tcPr>
          <w:p w:rsidR="007B2869" w:rsidRDefault="007B2869" w:rsidP="009704E2">
            <w:pPr>
              <w:jc w:val="both"/>
            </w:pPr>
            <w:r>
              <w:t>képmás</w:t>
            </w:r>
          </w:p>
        </w:tc>
        <w:tc>
          <w:tcPr>
            <w:tcW w:w="5670" w:type="dxa"/>
          </w:tcPr>
          <w:p w:rsidR="007B2869" w:rsidRDefault="007B2869" w:rsidP="007B2869">
            <w:pPr>
              <w:jc w:val="both"/>
            </w:pPr>
            <w:r>
              <w:t>adatkezelő és szolgáltatásainak népszerűsítése, honalapján, közösségi média oldalain, illetve kiadványaiban</w:t>
            </w:r>
          </w:p>
        </w:tc>
      </w:tr>
    </w:tbl>
    <w:p w:rsidR="00506EE5" w:rsidRDefault="00506EE5" w:rsidP="009704E2">
      <w:pPr>
        <w:jc w:val="both"/>
      </w:pPr>
    </w:p>
    <w:p w:rsidR="00506EE5" w:rsidRDefault="00506EE5" w:rsidP="009704E2">
      <w:pPr>
        <w:jc w:val="both"/>
      </w:pPr>
    </w:p>
    <w:p w:rsidR="00872207" w:rsidRDefault="00872207" w:rsidP="009704E2">
      <w:pPr>
        <w:jc w:val="both"/>
      </w:pPr>
      <w:r>
        <w:t xml:space="preserve">A rendezvényeinken való belépéssel ráutaló magatartással hozzájárulsz ahhoz, hogy rólad fényképek készüljenek, ez azonban a tömegfelvételek kivételével nem jogosít fel minket arra, hogy a képeket felhasználjuk, azaz megjelentessük. Ezért minden esetben, amikor olyan képet szeretnénk felhasználni, amely nem minősül tömegfelvételnek, megkeresünk téged, hogy </w:t>
      </w:r>
      <w:r>
        <w:lastRenderedPageBreak/>
        <w:t>írásban hozzájárulj a fénykép felhasználásához.</w:t>
      </w:r>
      <w:r w:rsidR="002560DB">
        <w:t xml:space="preserve"> Amennyiben a rendezvényen jelenléti ívet írtál alá, úgy azon megjelölheted, hogy hozzájárulsz-e a tömegfelvételnek nem minősülő képek jelen tájékoztatóban leírtak szerinti felhasználásához.</w:t>
      </w:r>
    </w:p>
    <w:p w:rsidR="00872207" w:rsidRDefault="00872207" w:rsidP="009704E2">
      <w:pPr>
        <w:jc w:val="both"/>
      </w:pPr>
    </w:p>
    <w:p w:rsidR="00872207" w:rsidRDefault="00872207" w:rsidP="009704E2">
      <w:pPr>
        <w:jc w:val="both"/>
      </w:pPr>
      <w:r>
        <w:t>A ráutaló magatartással való hozzájárulásodtól függetlenül bármikor kérheted tőlünk, hogy a rólad készült képet töröljük (egyedi ábrázolású kép esetén), vagy a képmásodat tegyük felismerhetetlenné (tömegfelvétel esetén)</w:t>
      </w:r>
      <w:r w:rsidR="00E05430">
        <w:t>, vagy ne hozzuk nyilvánosságra</w:t>
      </w:r>
      <w:r>
        <w:t>.</w:t>
      </w:r>
    </w:p>
    <w:p w:rsidR="00872207" w:rsidRDefault="00872207" w:rsidP="009704E2">
      <w:pPr>
        <w:jc w:val="both"/>
      </w:pPr>
    </w:p>
    <w:p w:rsidR="00872207" w:rsidRDefault="00872207" w:rsidP="009704E2">
      <w:pPr>
        <w:jc w:val="both"/>
      </w:pPr>
      <w:r>
        <w:t>A képek felhasználása során adatfeldolgozókat veszünk igénybe. Adatfeldolgozónk az adott rendezvény fotósa, a webdesigner, a fotóval kapcsolatos utómunkálatokat végző személy</w:t>
      </w:r>
      <w:r w:rsidR="00093955">
        <w:t>, a nyomda</w:t>
      </w:r>
      <w:r>
        <w:t>. Mivel előfordulhat olyan eset, hogy egyes rendezvényeinken az adatfeldolgozást más-más személy valósítja meg, ezért az adatfeldolgozó elérhetőségeit akkor tudjuk neked megadni, ha megjelölöd, hogy melyik rendezvényről volt szó.</w:t>
      </w:r>
    </w:p>
    <w:p w:rsidR="00872207" w:rsidRDefault="00872207" w:rsidP="009704E2">
      <w:pPr>
        <w:jc w:val="both"/>
      </w:pPr>
    </w:p>
    <w:p w:rsidR="003D062A" w:rsidRDefault="00872207" w:rsidP="009704E2">
      <w:pPr>
        <w:jc w:val="both"/>
      </w:pPr>
      <w:r>
        <w:t>Tekintettel arra, hogy a</w:t>
      </w:r>
      <w:r w:rsidR="00E11FCA">
        <w:t xml:space="preserve"> </w:t>
      </w:r>
      <w:r>
        <w:t>képmásokat</w:t>
      </w:r>
      <w:r w:rsidR="00E11FCA">
        <w:t xml:space="preserve"> a honlapunkon, közösségi média oldalainkon, kiadványainkban</w:t>
      </w:r>
      <w:r w:rsidR="00E05430">
        <w:t xml:space="preserve"> nyilvánosságra hozhatjuk,</w:t>
      </w:r>
      <w:r w:rsidR="00E11FCA">
        <w:t xml:space="preserve"> közzéte</w:t>
      </w:r>
      <w:r w:rsidR="00E05430">
        <w:t>hetjük (tömegfelvétel esetén nincs szükség hozzájárulásra, egyedi ábrázolású képe esetén pedig az érintett kifejezett hozzájárulása esetén) az adatkezelés címzettje azok a személyek lesznek, akik olvassák ezeket.</w:t>
      </w:r>
    </w:p>
    <w:p w:rsidR="00E05430" w:rsidRDefault="00E05430" w:rsidP="009704E2">
      <w:pPr>
        <w:jc w:val="both"/>
      </w:pPr>
    </w:p>
    <w:p w:rsidR="00E05430" w:rsidRDefault="00E05430" w:rsidP="009704E2">
      <w:pPr>
        <w:jc w:val="both"/>
      </w:pPr>
      <w:r>
        <w:t>Az adatkezelés időtartama: az érintett által kért törlésig. Természetesen ettől függetlenül előfordulhat olyan eset, hogy felülvizsgáljuk a meglévő fénykép állományunkat, és abból kérés nélkül törlünk képeket.</w:t>
      </w:r>
    </w:p>
    <w:p w:rsidR="00872207" w:rsidRDefault="00872207" w:rsidP="009704E2">
      <w:pPr>
        <w:jc w:val="both"/>
      </w:pPr>
    </w:p>
    <w:p w:rsidR="007B2869" w:rsidRDefault="007B2869" w:rsidP="007B2869">
      <w:pPr>
        <w:rPr>
          <w:b/>
        </w:rPr>
      </w:pPr>
      <w:r>
        <w:rPr>
          <w:b/>
        </w:rPr>
        <w:t xml:space="preserve">Az érintettek jogai: </w:t>
      </w:r>
    </w:p>
    <w:p w:rsidR="007B2869" w:rsidRDefault="007B2869" w:rsidP="007B2869">
      <w:pPr>
        <w:pStyle w:val="ListParagraph"/>
        <w:numPr>
          <w:ilvl w:val="0"/>
          <w:numId w:val="1"/>
        </w:numPr>
        <w:spacing w:after="120"/>
        <w:jc w:val="both"/>
      </w:pPr>
      <w:r>
        <w:t>hozzáférési jog (adatok megismerése, az a tény, hogy történik-e adatkezelés);</w:t>
      </w:r>
    </w:p>
    <w:p w:rsidR="007B2869" w:rsidRDefault="007B2869" w:rsidP="007B2869">
      <w:pPr>
        <w:pStyle w:val="ListParagraph"/>
        <w:numPr>
          <w:ilvl w:val="0"/>
          <w:numId w:val="1"/>
        </w:numPr>
        <w:spacing w:after="120"/>
        <w:jc w:val="both"/>
      </w:pPr>
      <w:r>
        <w:t>amennyiben egy adat elavult vagy helytelen, ennek kiigazítása;</w:t>
      </w:r>
    </w:p>
    <w:p w:rsidR="007B2869" w:rsidRDefault="007B2869" w:rsidP="007B2869">
      <w:pPr>
        <w:pStyle w:val="ListParagraph"/>
        <w:numPr>
          <w:ilvl w:val="0"/>
          <w:numId w:val="1"/>
        </w:numPr>
        <w:spacing w:after="120"/>
        <w:jc w:val="both"/>
      </w:pPr>
      <w:r>
        <w:t xml:space="preserve">törlés (kizárólag a hozzájáruláson alapuló adatkezelés esetén); </w:t>
      </w:r>
    </w:p>
    <w:p w:rsidR="007B2869" w:rsidRDefault="007B2869" w:rsidP="007B2869">
      <w:pPr>
        <w:pStyle w:val="ListParagraph"/>
        <w:numPr>
          <w:ilvl w:val="0"/>
          <w:numId w:val="1"/>
        </w:numPr>
        <w:spacing w:after="120"/>
        <w:jc w:val="both"/>
      </w:pPr>
      <w:r>
        <w:t>az adat kezelésének korlátozása;</w:t>
      </w:r>
    </w:p>
    <w:p w:rsidR="007B2869" w:rsidRDefault="007B2869" w:rsidP="007B2869">
      <w:pPr>
        <w:pStyle w:val="ListParagraph"/>
        <w:numPr>
          <w:ilvl w:val="0"/>
          <w:numId w:val="1"/>
        </w:numPr>
        <w:spacing w:after="120"/>
        <w:jc w:val="both"/>
      </w:pPr>
      <w:r>
        <w:t>a személyes adatok direkt marketing célokra való használatának megtiltása;</w:t>
      </w:r>
    </w:p>
    <w:p w:rsidR="007B2869" w:rsidRDefault="007B2869" w:rsidP="007B2869">
      <w:pPr>
        <w:pStyle w:val="ListParagraph"/>
        <w:numPr>
          <w:ilvl w:val="0"/>
          <w:numId w:val="1"/>
        </w:numPr>
        <w:spacing w:after="120"/>
        <w:jc w:val="both"/>
      </w:pPr>
      <w:r>
        <w:t xml:space="preserve">személyes adatainak harmadik személy szolgáltató számára történő átadása, vagy ennek megtiltása; </w:t>
      </w:r>
    </w:p>
    <w:p w:rsidR="007B2869" w:rsidRDefault="007B2869" w:rsidP="007B2869">
      <w:pPr>
        <w:pStyle w:val="ListParagraph"/>
        <w:numPr>
          <w:ilvl w:val="0"/>
          <w:numId w:val="1"/>
        </w:numPr>
        <w:spacing w:after="120"/>
        <w:jc w:val="both"/>
      </w:pPr>
      <w:r>
        <w:t>bármely az adatkezelő által kezelt személyes adatról másolat kérése; vagy</w:t>
      </w:r>
    </w:p>
    <w:p w:rsidR="007B2869" w:rsidRDefault="007B2869" w:rsidP="007B2869">
      <w:pPr>
        <w:pStyle w:val="ListParagraph"/>
        <w:numPr>
          <w:ilvl w:val="0"/>
          <w:numId w:val="1"/>
        </w:numPr>
        <w:spacing w:after="120"/>
        <w:jc w:val="both"/>
      </w:pPr>
      <w:r>
        <w:t>tiltakozás a személyes adat használata ellen.</w:t>
      </w:r>
    </w:p>
    <w:p w:rsidR="007B2869" w:rsidRDefault="007B2869" w:rsidP="007B2869">
      <w:pPr>
        <w:pStyle w:val="ListParagraph"/>
        <w:numPr>
          <w:ilvl w:val="0"/>
          <w:numId w:val="1"/>
        </w:numPr>
        <w:spacing w:after="120"/>
        <w:jc w:val="both"/>
      </w:pPr>
      <w:r>
        <w:t>adathordozhatóság joga: 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w:t>
      </w:r>
    </w:p>
    <w:p w:rsidR="007B2869" w:rsidRDefault="007B2869" w:rsidP="007B2869">
      <w:pPr>
        <w:pStyle w:val="ListParagraph"/>
        <w:numPr>
          <w:ilvl w:val="0"/>
          <w:numId w:val="1"/>
        </w:numPr>
        <w:spacing w:after="120"/>
        <w:jc w:val="both"/>
      </w:pPr>
      <w:r>
        <w:t>hozzájárulás visszavonásának joga</w:t>
      </w:r>
    </w:p>
    <w:p w:rsidR="007B2869" w:rsidRDefault="007B2869" w:rsidP="007B2869"/>
    <w:p w:rsidR="007B2869" w:rsidRDefault="007B2869" w:rsidP="007B2869">
      <w:pPr>
        <w:pStyle w:val="Szvegtrzs30"/>
        <w:shd w:val="clear" w:color="auto" w:fill="auto"/>
        <w:spacing w:before="0" w:after="0" w:line="293" w:lineRule="exact"/>
        <w:ind w:left="20" w:right="20"/>
        <w:rPr>
          <w:rFonts w:ascii="Times New Roman" w:hAnsi="Times New Roman" w:cs="Times New Roman"/>
          <w:sz w:val="24"/>
        </w:rPr>
      </w:pPr>
      <w:r>
        <w:rPr>
          <w:rFonts w:ascii="Times New Roman" w:hAnsi="Times New Roman" w:cs="Times New Roman"/>
          <w:sz w:val="24"/>
        </w:rPr>
        <w:t>Hol és hogyan kérhetek részletes tájékoztatást az adatok kezeléséről, továbbításáról, valamint hol és hogyan élhetek jogaimmal?</w:t>
      </w:r>
    </w:p>
    <w:p w:rsidR="007B2869" w:rsidRDefault="007B2869" w:rsidP="007B2869"/>
    <w:p w:rsidR="007B2869" w:rsidRDefault="007B2869" w:rsidP="00872207">
      <w:pPr>
        <w:jc w:val="both"/>
      </w:pPr>
      <w:r>
        <w:t>Adatkezelő felhívja az érintettek figyelmét, hogy az érintettek tájékoztatás kérésüket, valamint egyéb jogaik gyakorlását - ha azt jogszabály ki nem zárja - az e-mail címre, vagy Adatkezelő más elérhetőségre küldött nyilatkozattal tehetik meg. Az Adatkezelő a nyilatkozatot a beérkezéstől számított legrövidebb időn, de maximum 15 napon belül megvizsgálja és megválaszolja, valamint megteszi a szükséges lépéseket a nyilatkozatban, a Szabályzatban, valamint jogszabályban foglaltak alapján.</w:t>
      </w:r>
    </w:p>
    <w:p w:rsidR="007B2869" w:rsidRDefault="007B2869" w:rsidP="007B2869"/>
    <w:p w:rsidR="007B2869" w:rsidRDefault="007B2869" w:rsidP="007B2869">
      <w:pPr>
        <w:rPr>
          <w:b/>
        </w:rPr>
      </w:pPr>
      <w:r>
        <w:rPr>
          <w:b/>
        </w:rPr>
        <w:t>Hova fordulhatok az önrendelkezési jog megsértése esetén?</w:t>
      </w:r>
    </w:p>
    <w:p w:rsidR="007B2869" w:rsidRDefault="007B2869" w:rsidP="007B2869">
      <w:r>
        <w:t>Nemzeti Adatvédelmi és Információszabadság Hatóság</w:t>
      </w:r>
    </w:p>
    <w:p w:rsidR="007B2869" w:rsidRDefault="007B2869" w:rsidP="007B2869">
      <w:r>
        <w:t>Cím: 1125 Budapest, Szilágyi Erzsébet fasor 22/c</w:t>
      </w:r>
    </w:p>
    <w:p w:rsidR="007B2869" w:rsidRDefault="007B2869" w:rsidP="007B2869">
      <w:r>
        <w:lastRenderedPageBreak/>
        <w:t>Telefon: +36 (1) 391-1400</w:t>
      </w:r>
    </w:p>
    <w:p w:rsidR="007B2869" w:rsidRDefault="007B2869" w:rsidP="007B2869">
      <w:r>
        <w:t>Fax: +36 (1) 391-1410</w:t>
      </w:r>
    </w:p>
    <w:p w:rsidR="007B2869" w:rsidRDefault="007B2869" w:rsidP="007B2869">
      <w:r>
        <w:t>www: http://www.naih.hu</w:t>
      </w:r>
    </w:p>
    <w:p w:rsidR="007B2869" w:rsidRDefault="007B2869" w:rsidP="007B2869">
      <w:r>
        <w:t xml:space="preserve">e-mail: </w:t>
      </w:r>
      <w:hyperlink r:id="rId5">
        <w:r>
          <w:rPr>
            <w:rStyle w:val="Internet-hivatkozs"/>
          </w:rPr>
          <w:t>ugyfelszolgalat@naih.hu</w:t>
        </w:r>
      </w:hyperlink>
    </w:p>
    <w:p w:rsidR="007B2869" w:rsidRDefault="007B2869" w:rsidP="007B2869"/>
    <w:p w:rsidR="007B2869" w:rsidRDefault="007B2869" w:rsidP="007B2869">
      <w:pPr>
        <w:rPr>
          <w:b/>
        </w:rPr>
      </w:pPr>
      <w:r>
        <w:rPr>
          <w:b/>
        </w:rPr>
        <w:t>Kiskorúakat sértő, gyűlöletkeltő, kirekesztő tartalmakkal, helyreigazítással, elhunyt személy jogaival, jó hírnév megsértésével kapcsolatos jogainak megsértése esetén:</w:t>
      </w:r>
    </w:p>
    <w:p w:rsidR="007B2869" w:rsidRDefault="007B2869" w:rsidP="007B2869">
      <w:r>
        <w:t>Nemzeti Média- és Hírközlési Hatóság 1015 Budapest, Ostrom u. 23-25.</w:t>
      </w:r>
    </w:p>
    <w:p w:rsidR="007B2869" w:rsidRDefault="007B2869" w:rsidP="007B2869">
      <w:r>
        <w:t>Levélcím: 1525. Pf. 75 Tel: (06 1) 457 7100 Fax: (06 1) 356 5520 E-mail: info@nmhh.hu</w:t>
      </w:r>
    </w:p>
    <w:p w:rsidR="007B2869" w:rsidRDefault="007B2869" w:rsidP="007B2869"/>
    <w:p w:rsidR="007B2869" w:rsidRDefault="007B2869" w:rsidP="007B2869">
      <w:r>
        <w:t>Az érintett a jogainak megsértése esetén bírósághoz fordulhat. A bíróság az ügyben soron kívül jár el. Azt, hogy az adatkezelés a jogszabályban foglaltaknak megfelel, az Adatkezelő köteles bizonyítani.</w:t>
      </w:r>
    </w:p>
    <w:p w:rsidR="007B2869" w:rsidRDefault="007B2869" w:rsidP="007B2869">
      <w:r>
        <w:t>Abban az esetben, ha az Adatkezelő az érintett adatainak jogellenes kezelésével vagy az adatbiztonság követelményeinek megszegésével az érintett személyiségi jogát megsérti, az érintett az Adatkezelőtől sérelemdíjat követelhet.</w:t>
      </w:r>
    </w:p>
    <w:p w:rsidR="007B2869" w:rsidRDefault="007B2869" w:rsidP="007B2869"/>
    <w:p w:rsidR="007B2869" w:rsidRDefault="007B2869" w:rsidP="007B2869">
      <w:pPr>
        <w:rPr>
          <w:b/>
        </w:rPr>
      </w:pPr>
      <w:r>
        <w:rPr>
          <w:b/>
        </w:rPr>
        <w:t>Az Adatkezelő hogyan gondoskodik az adataim biztonságáról?</w:t>
      </w:r>
    </w:p>
    <w:p w:rsidR="007B2869" w:rsidRDefault="007B2869" w:rsidP="007B2869">
      <w:r>
        <w:t>Adatkezelő gondoskodik az adatok biztonságáról. Ennek érdekében megteszi azokat a technikai és szervezési intézkedéseket és kialakítja azokat az eljárási szabályokat, amelyek az irányadó jogszabályok, adat- és titokvédelmi szabályok érvényre juttatásához szükségesek.</w:t>
      </w:r>
    </w:p>
    <w:p w:rsidR="007B2869" w:rsidRDefault="007B2869" w:rsidP="007B2869">
      <w:r>
        <w:t>Adatkezelő 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p>
    <w:p w:rsidR="007B2869" w:rsidRDefault="007B2869" w:rsidP="007B2869">
      <w:r>
        <w:t>Az adatbiztonság szabályainak érvényesüléséről a jelen Tájékoztatótól tartalmilag és formailag elkülönülő belső szabályzatok, utasítások, eljárási rendek útján (is) gondoskodik.</w:t>
      </w:r>
    </w:p>
    <w:p w:rsidR="007B2869" w:rsidRDefault="007B2869" w:rsidP="007B2869">
      <w:r>
        <w:t>Adatkezelő az adatok biztonságát szolgáló intézkedések meghatározásakor és alkalmazásakor tekintettel van a technika mindenkori fejlettségére és több lehetséges adatkezelési megoldás közül azt választja, amely a személyes adatok magasabb szintű védelmét biztosítja, kivéve, ha az aránytalan nehézséget jelentene.</w:t>
      </w:r>
    </w:p>
    <w:p w:rsidR="007B2869" w:rsidRDefault="007B2869" w:rsidP="007B2869">
      <w:r>
        <w:t>Az Adatkezelő az informatikai védelemmel kapcsolatos feladatai körében gondoskodik különösen:</w:t>
      </w:r>
    </w:p>
    <w:p w:rsidR="007B2869" w:rsidRDefault="007B2869" w:rsidP="007B2869">
      <w:r>
        <w:t>•</w:t>
      </w:r>
      <w:r>
        <w:tab/>
        <w:t>A jogosulatlan hozzáférés elleni védelmet biztosító intézkedésekről, ezen belül a szoftver és hardver eszközök védelméről, illetve a fizikai védelemről (hozzáférés védelem, hálózati védelem);</w:t>
      </w:r>
    </w:p>
    <w:p w:rsidR="007B2869" w:rsidRDefault="007B2869" w:rsidP="007B2869">
      <w:r>
        <w:t>•</w:t>
      </w:r>
      <w:r>
        <w:tab/>
        <w:t>Az adatállományok helyreállításának lehetőségét biztosító intézkedésekről, ezen belül a rendszeres biztonsági mentésről és a másolatok elkülönített, biztonságos kezeléséről (tükrözés, biztonsági mentés);</w:t>
      </w:r>
    </w:p>
    <w:p w:rsidR="007B2869" w:rsidRDefault="007B2869" w:rsidP="007B2869">
      <w:r>
        <w:t>•</w:t>
      </w:r>
      <w:r>
        <w:tab/>
        <w:t>Az adatállományok vírusok elleni védelméről (vírusvédelem);</w:t>
      </w:r>
    </w:p>
    <w:p w:rsidR="007B2869" w:rsidRDefault="007B2869" w:rsidP="007B2869">
      <w:r>
        <w:t>•</w:t>
      </w:r>
      <w:r>
        <w:tab/>
        <w:t>Az adatállományok, illetve az azokat hordozó eszközök fizikai védelméről, ezen belül a tűzkár, vízkár, villámcsapás, egyéb elemi kár elleni védelemről, illetve az ilyen események következtében bekövetkező károsodások helyreállíthatóságáról (archiválás, tűzvédelem).</w:t>
      </w:r>
    </w:p>
    <w:p w:rsidR="007B2869" w:rsidRDefault="007B2869" w:rsidP="007B2869"/>
    <w:p w:rsidR="007B2869" w:rsidRDefault="007B2869" w:rsidP="007B2869">
      <w:r>
        <w:t>Kelt, 2018</w:t>
      </w:r>
      <w:r w:rsidR="004F0B06">
        <w:t>………</w:t>
      </w:r>
    </w:p>
    <w:p w:rsidR="007B2869" w:rsidRPr="00211AB1" w:rsidRDefault="007B2869"/>
    <w:sectPr w:rsidR="007B2869" w:rsidRPr="00211AB1" w:rsidSect="00D70980">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13156"/>
    <w:multiLevelType w:val="multilevel"/>
    <w:tmpl w:val="E9FE729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Liberation Serif" w:hAnsi="Liberation Serif" w:cs="Liberation Serif" w:hint="default"/>
        <w:b/>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zQ3MTIzMDI1NLIwtzRV0lEKTi0uzszPAykwrAUAuePdXCwAAAA="/>
  </w:docVars>
  <w:rsids>
    <w:rsidRoot w:val="003247F7"/>
    <w:rsid w:val="00045FDD"/>
    <w:rsid w:val="00093955"/>
    <w:rsid w:val="00211AB1"/>
    <w:rsid w:val="0023474F"/>
    <w:rsid w:val="002560DB"/>
    <w:rsid w:val="003247F7"/>
    <w:rsid w:val="003D062A"/>
    <w:rsid w:val="004F0B06"/>
    <w:rsid w:val="00506EE5"/>
    <w:rsid w:val="00561A43"/>
    <w:rsid w:val="00595B35"/>
    <w:rsid w:val="005A215A"/>
    <w:rsid w:val="007B2869"/>
    <w:rsid w:val="007F2BEA"/>
    <w:rsid w:val="00846D52"/>
    <w:rsid w:val="00872207"/>
    <w:rsid w:val="009704E2"/>
    <w:rsid w:val="00982B07"/>
    <w:rsid w:val="00B72225"/>
    <w:rsid w:val="00D50690"/>
    <w:rsid w:val="00D70980"/>
    <w:rsid w:val="00E05430"/>
    <w:rsid w:val="00E11FCA"/>
    <w:rsid w:val="00F03C51"/>
    <w:rsid w:val="00F5597C"/>
    <w:rsid w:val="00FD613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197E0"/>
  <w15:chartTrackingRefBased/>
  <w15:docId w15:val="{164D1768-8639-4A43-A43D-8E436A7AE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Theme="minorHAnsi" w:hAnsi="Liberation Serif" w:cs="Liberation Serif"/>
        <w:color w:val="000000"/>
        <w:sz w:val="24"/>
        <w:szCs w:val="24"/>
        <w:lang w:val="hu-HU"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5597C"/>
  </w:style>
  <w:style w:type="paragraph" w:styleId="Heading1">
    <w:name w:val="heading 1"/>
    <w:basedOn w:val="Normal"/>
    <w:next w:val="Normal"/>
    <w:link w:val="Heading1Char"/>
    <w:rsid w:val="00F5597C"/>
    <w:pPr>
      <w:keepNext/>
      <w:keepLines/>
      <w:spacing w:before="480"/>
      <w:outlineLvl w:val="0"/>
    </w:pPr>
    <w:rPr>
      <w:rFonts w:ascii="Times New Roman" w:eastAsia="Cambria" w:hAnsi="Times New Roman" w:cs="Cambria"/>
      <w:b/>
      <w:color w:val="auto"/>
      <w:szCs w:val="28"/>
    </w:rPr>
  </w:style>
  <w:style w:type="paragraph" w:styleId="Heading2">
    <w:name w:val="heading 2"/>
    <w:basedOn w:val="Normal"/>
    <w:next w:val="Normal"/>
    <w:link w:val="Heading2Char"/>
    <w:rsid w:val="00F5597C"/>
    <w:pPr>
      <w:keepNext/>
      <w:keepLines/>
      <w:spacing w:before="200"/>
      <w:outlineLvl w:val="1"/>
    </w:pPr>
    <w:rPr>
      <w:rFonts w:ascii="Cambria" w:eastAsia="Cambria" w:hAnsi="Cambria" w:cs="Cambria"/>
      <w:b/>
      <w:color w:val="4F81BD"/>
      <w:sz w:val="26"/>
      <w:szCs w:val="26"/>
    </w:rPr>
  </w:style>
  <w:style w:type="paragraph" w:styleId="Heading3">
    <w:name w:val="heading 3"/>
    <w:basedOn w:val="Normal"/>
    <w:next w:val="Normal"/>
    <w:link w:val="Heading3Char"/>
    <w:rsid w:val="00F5597C"/>
    <w:pPr>
      <w:keepNext/>
      <w:keepLines/>
      <w:spacing w:before="200"/>
      <w:outlineLvl w:val="2"/>
    </w:pPr>
    <w:rPr>
      <w:rFonts w:ascii="Cambria" w:eastAsia="Cambria" w:hAnsi="Cambria" w:cs="Cambria"/>
      <w:b/>
      <w:color w:val="4F81BD"/>
      <w:sz w:val="20"/>
      <w:szCs w:val="20"/>
    </w:rPr>
  </w:style>
  <w:style w:type="paragraph" w:styleId="Heading4">
    <w:name w:val="heading 4"/>
    <w:basedOn w:val="Normal"/>
    <w:next w:val="Normal"/>
    <w:link w:val="Heading4Char"/>
    <w:rsid w:val="00F5597C"/>
    <w:pPr>
      <w:keepNext/>
      <w:keepLines/>
      <w:spacing w:before="200"/>
      <w:outlineLvl w:val="3"/>
    </w:pPr>
    <w:rPr>
      <w:rFonts w:ascii="Cambria" w:eastAsia="Cambria" w:hAnsi="Cambria" w:cs="Cambria"/>
      <w:b/>
      <w:i/>
      <w:color w:val="4F81BD"/>
      <w:sz w:val="20"/>
      <w:szCs w:val="20"/>
    </w:rPr>
  </w:style>
  <w:style w:type="paragraph" w:styleId="Heading5">
    <w:name w:val="heading 5"/>
    <w:basedOn w:val="Normal"/>
    <w:next w:val="Normal"/>
    <w:link w:val="Heading5Char"/>
    <w:rsid w:val="00F5597C"/>
    <w:pPr>
      <w:keepNext/>
      <w:keepLines/>
      <w:spacing w:before="200"/>
      <w:outlineLvl w:val="4"/>
    </w:pPr>
    <w:rPr>
      <w:rFonts w:ascii="Cambria" w:eastAsia="Cambria" w:hAnsi="Cambria" w:cs="Cambria"/>
      <w:color w:val="243F60"/>
      <w:sz w:val="20"/>
      <w:szCs w:val="20"/>
    </w:rPr>
  </w:style>
  <w:style w:type="paragraph" w:styleId="Heading6">
    <w:name w:val="heading 6"/>
    <w:basedOn w:val="Normal"/>
    <w:next w:val="Normal"/>
    <w:link w:val="Heading6Char"/>
    <w:rsid w:val="00F5597C"/>
    <w:pPr>
      <w:keepNext/>
      <w:keepLines/>
      <w:spacing w:before="200"/>
      <w:outlineLvl w:val="5"/>
    </w:pPr>
    <w:rPr>
      <w:rFonts w:ascii="Cambria" w:eastAsia="Cambria" w:hAnsi="Cambria" w:cs="Cambria"/>
      <w:i/>
      <w:color w:val="243F6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F5597C"/>
    <w:pPr>
      <w:pBdr>
        <w:top w:val="nil"/>
        <w:left w:val="nil"/>
        <w:bottom w:val="nil"/>
        <w:right w:val="nil"/>
        <w:between w:val="nil"/>
      </w:pBdr>
    </w:pPr>
    <w:rPr>
      <w:rFonts w:eastAsia="Liberation Serif"/>
      <w:lang w:val="en-US" w:eastAsia="hu-HU"/>
    </w:rPr>
    <w:tblPr>
      <w:tblCellMar>
        <w:top w:w="0" w:type="dxa"/>
        <w:left w:w="0" w:type="dxa"/>
        <w:bottom w:w="0" w:type="dxa"/>
        <w:right w:w="0" w:type="dxa"/>
      </w:tblCellMar>
    </w:tblPr>
  </w:style>
  <w:style w:type="character" w:customStyle="1" w:styleId="Heading1Char">
    <w:name w:val="Heading 1 Char"/>
    <w:basedOn w:val="DefaultParagraphFont"/>
    <w:link w:val="Heading1"/>
    <w:rsid w:val="00F5597C"/>
    <w:rPr>
      <w:rFonts w:ascii="Times New Roman" w:eastAsia="Cambria" w:hAnsi="Times New Roman" w:cs="Cambria"/>
      <w:b/>
      <w:sz w:val="24"/>
      <w:szCs w:val="28"/>
      <w:lang w:val="en-US" w:eastAsia="hu-HU"/>
    </w:rPr>
  </w:style>
  <w:style w:type="character" w:customStyle="1" w:styleId="Heading2Char">
    <w:name w:val="Heading 2 Char"/>
    <w:basedOn w:val="DefaultParagraphFont"/>
    <w:link w:val="Heading2"/>
    <w:rsid w:val="00F5597C"/>
    <w:rPr>
      <w:rFonts w:ascii="Cambria" w:eastAsia="Cambria" w:hAnsi="Cambria" w:cs="Cambria"/>
      <w:b/>
      <w:color w:val="4F81BD"/>
      <w:sz w:val="26"/>
      <w:szCs w:val="26"/>
      <w:lang w:val="en-US" w:eastAsia="hu-HU"/>
    </w:rPr>
  </w:style>
  <w:style w:type="character" w:customStyle="1" w:styleId="Heading3Char">
    <w:name w:val="Heading 3 Char"/>
    <w:basedOn w:val="DefaultParagraphFont"/>
    <w:link w:val="Heading3"/>
    <w:rsid w:val="00F5597C"/>
    <w:rPr>
      <w:rFonts w:ascii="Cambria" w:eastAsia="Cambria" w:hAnsi="Cambria" w:cs="Cambria"/>
      <w:b/>
      <w:color w:val="4F81BD"/>
      <w:sz w:val="20"/>
      <w:szCs w:val="20"/>
      <w:lang w:val="en-US" w:eastAsia="hu-HU"/>
    </w:rPr>
  </w:style>
  <w:style w:type="character" w:customStyle="1" w:styleId="Heading4Char">
    <w:name w:val="Heading 4 Char"/>
    <w:basedOn w:val="DefaultParagraphFont"/>
    <w:link w:val="Heading4"/>
    <w:rsid w:val="00F5597C"/>
    <w:rPr>
      <w:rFonts w:ascii="Cambria" w:eastAsia="Cambria" w:hAnsi="Cambria" w:cs="Cambria"/>
      <w:b/>
      <w:i/>
      <w:color w:val="4F81BD"/>
      <w:sz w:val="20"/>
      <w:szCs w:val="20"/>
      <w:lang w:val="en-US" w:eastAsia="hu-HU"/>
    </w:rPr>
  </w:style>
  <w:style w:type="character" w:customStyle="1" w:styleId="Heading5Char">
    <w:name w:val="Heading 5 Char"/>
    <w:basedOn w:val="DefaultParagraphFont"/>
    <w:link w:val="Heading5"/>
    <w:rsid w:val="00F5597C"/>
    <w:rPr>
      <w:rFonts w:ascii="Cambria" w:eastAsia="Cambria" w:hAnsi="Cambria" w:cs="Cambria"/>
      <w:color w:val="243F60"/>
      <w:sz w:val="20"/>
      <w:szCs w:val="20"/>
      <w:lang w:val="en-US" w:eastAsia="hu-HU"/>
    </w:rPr>
  </w:style>
  <w:style w:type="character" w:customStyle="1" w:styleId="Heading6Char">
    <w:name w:val="Heading 6 Char"/>
    <w:basedOn w:val="DefaultParagraphFont"/>
    <w:link w:val="Heading6"/>
    <w:rsid w:val="00F5597C"/>
    <w:rPr>
      <w:rFonts w:ascii="Cambria" w:eastAsia="Cambria" w:hAnsi="Cambria" w:cs="Cambria"/>
      <w:i/>
      <w:color w:val="243F60"/>
      <w:sz w:val="20"/>
      <w:szCs w:val="20"/>
      <w:lang w:val="en-US" w:eastAsia="hu-HU"/>
    </w:rPr>
  </w:style>
  <w:style w:type="paragraph" w:styleId="Title">
    <w:name w:val="Title"/>
    <w:basedOn w:val="Normal"/>
    <w:next w:val="Normal"/>
    <w:link w:val="TitleChar"/>
    <w:rsid w:val="00F5597C"/>
    <w:pPr>
      <w:keepNext/>
      <w:keepLines/>
      <w:spacing w:before="480" w:after="120"/>
    </w:pPr>
    <w:rPr>
      <w:b/>
      <w:sz w:val="72"/>
      <w:szCs w:val="72"/>
    </w:rPr>
  </w:style>
  <w:style w:type="character" w:customStyle="1" w:styleId="TitleChar">
    <w:name w:val="Title Char"/>
    <w:basedOn w:val="DefaultParagraphFont"/>
    <w:link w:val="Title"/>
    <w:rsid w:val="00F5597C"/>
    <w:rPr>
      <w:rFonts w:ascii="Liberation Serif" w:eastAsia="Liberation Serif" w:hAnsi="Liberation Serif" w:cs="Liberation Serif"/>
      <w:b/>
      <w:color w:val="000000"/>
      <w:sz w:val="72"/>
      <w:szCs w:val="72"/>
      <w:lang w:val="en-US" w:eastAsia="hu-HU"/>
    </w:rPr>
  </w:style>
  <w:style w:type="paragraph" w:styleId="Subtitle">
    <w:name w:val="Subtitle"/>
    <w:basedOn w:val="Normal"/>
    <w:next w:val="Normal"/>
    <w:link w:val="SubtitleChar"/>
    <w:rsid w:val="00F5597C"/>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5597C"/>
    <w:rPr>
      <w:rFonts w:ascii="Georgia" w:eastAsia="Georgia" w:hAnsi="Georgia" w:cs="Georgia"/>
      <w:i/>
      <w:color w:val="666666"/>
      <w:sz w:val="48"/>
      <w:szCs w:val="48"/>
      <w:lang w:val="en-US" w:eastAsia="hu-HU"/>
    </w:rPr>
  </w:style>
  <w:style w:type="character" w:customStyle="1" w:styleId="Tblzatfelirata">
    <w:name w:val="Táblázat felirata"/>
    <w:basedOn w:val="DefaultParagraphFont"/>
    <w:qFormat/>
    <w:rsid w:val="00506EE5"/>
    <w:rPr>
      <w:rFonts w:ascii="Century Gothic" w:eastAsia="Century Gothic" w:hAnsi="Century Gothic" w:cs="Century Gothic"/>
      <w:b w:val="0"/>
      <w:bCs w:val="0"/>
      <w:i w:val="0"/>
      <w:iCs w:val="0"/>
      <w:caps w:val="0"/>
      <w:smallCaps w:val="0"/>
      <w:strike w:val="0"/>
      <w:dstrike w:val="0"/>
      <w:color w:val="000000"/>
      <w:spacing w:val="0"/>
      <w:w w:val="100"/>
      <w:sz w:val="22"/>
      <w:szCs w:val="22"/>
      <w:u w:val="single"/>
      <w:lang w:val="hu-HU"/>
    </w:rPr>
  </w:style>
  <w:style w:type="character" w:customStyle="1" w:styleId="Internet-hivatkozs">
    <w:name w:val="Internet-hivatkozás"/>
    <w:basedOn w:val="DefaultParagraphFont"/>
    <w:uiPriority w:val="99"/>
    <w:unhideWhenUsed/>
    <w:rsid w:val="007B2869"/>
    <w:rPr>
      <w:color w:val="0563C1" w:themeColor="hyperlink"/>
      <w:u w:val="single"/>
    </w:rPr>
  </w:style>
  <w:style w:type="character" w:customStyle="1" w:styleId="Szvegtrzs3">
    <w:name w:val="Szövegtörzs (3)_"/>
    <w:basedOn w:val="DefaultParagraphFont"/>
    <w:link w:val="Szvegtrzs30"/>
    <w:qFormat/>
    <w:rsid w:val="007B2869"/>
    <w:rPr>
      <w:rFonts w:ascii="Century Gothic" w:eastAsia="Century Gothic" w:hAnsi="Century Gothic" w:cs="Century Gothic"/>
      <w:sz w:val="23"/>
      <w:szCs w:val="23"/>
      <w:shd w:val="clear" w:color="auto" w:fill="FFFFFF"/>
    </w:rPr>
  </w:style>
  <w:style w:type="paragraph" w:styleId="ListParagraph">
    <w:name w:val="List Paragraph"/>
    <w:basedOn w:val="Normal"/>
    <w:uiPriority w:val="34"/>
    <w:qFormat/>
    <w:rsid w:val="007B2869"/>
    <w:pPr>
      <w:ind w:left="720"/>
      <w:contextualSpacing/>
    </w:pPr>
  </w:style>
  <w:style w:type="paragraph" w:customStyle="1" w:styleId="Szvegtrzs30">
    <w:name w:val="Szövegtörzs (3)"/>
    <w:basedOn w:val="Normal"/>
    <w:link w:val="Szvegtrzs3"/>
    <w:qFormat/>
    <w:rsid w:val="007B2869"/>
    <w:pPr>
      <w:widowControl w:val="0"/>
      <w:shd w:val="clear" w:color="auto" w:fill="FFFFFF"/>
      <w:spacing w:before="240" w:after="360"/>
      <w:jc w:val="both"/>
    </w:pPr>
    <w:rPr>
      <w:rFonts w:ascii="Century Gothic" w:eastAsia="Century Gothic" w:hAnsi="Century Gothic" w:cs="Century Gothic"/>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7450</Characters>
  <Application>Microsoft Office Word</Application>
  <DocSecurity>0</DocSecurity>
  <Lines>62</Lines>
  <Paragraphs>17</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Csaplár Dániel- Dr. Sárecz Judit Ügyvédi Iroda</dc:creator>
  <cp:keywords/>
  <dc:description/>
  <cp:lastModifiedBy>Katalin Németh</cp:lastModifiedBy>
  <cp:revision>2</cp:revision>
  <dcterms:created xsi:type="dcterms:W3CDTF">2018-05-02T13:51:00Z</dcterms:created>
  <dcterms:modified xsi:type="dcterms:W3CDTF">2018-05-02T13:51:00Z</dcterms:modified>
</cp:coreProperties>
</file>